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May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19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2018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60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$1720.85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Spring Fly-in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was cancelled due to weather.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B-17 visit Nov 8 – 11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hyperlink r:id="rId2">
        <w:r>
          <w:rPr>
            <w:rStyle w:val="InternetLink"/>
            <w:rFonts w:ascii="Arial" w:hAnsi="Arial"/>
            <w:sz w:val="24"/>
            <w:szCs w:val="24"/>
          </w:rPr>
          <w:t>Order tickets</w:t>
        </w:r>
      </w:hyperlink>
      <w:r>
        <w:rPr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on line ahead of time…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We need volunteers for marshaling people and support the airplane ops.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2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Fall fly-in planning discussion began noting that the B-17 visit date. Optional dates are Oct 27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shd w:fill="FFFFFF" w:val="clear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 xml:space="preserve"> or Nov 3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u w:val="none"/>
          <w:shd w:fill="FFFFFF" w:val="clear"/>
          <w:vertAlign w:val="superscript"/>
          <w:lang w:val="en-US" w:eastAsia="en-US" w:bidi="ar-SA"/>
        </w:rPr>
        <w:t>rd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 / Tech Talk: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46" w:after="46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en-US" w:eastAsia="en-US" w:bidi="ar-SA"/>
        </w:rPr>
        <w:t>Ron brought in several examples of heat sinks. We discussed the effect of heat on alternator output and the reduction in reliability of electronics overall due to high operating temperatures.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46" w:after="46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en-US" w:eastAsia="en-US" w:bidi="ar-SA"/>
        </w:rPr>
        <w:t xml:space="preserve">We discussed under-coul cooling, pressure drops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en-US" w:eastAsia="en-US" w:bidi="ar-SA"/>
        </w:rPr>
        <w:t>from inlet to outlet, and the impacts of baffles vs inlet opening size.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46" w:after="46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en-US" w:eastAsia="en-US" w:bidi="ar-SA"/>
        </w:rPr>
        <w:t>We also discussed the significant increases in engine reliability provided by improvements in materials and material coatings.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46" w:after="46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en-US" w:eastAsia="en-US" w:bidi="ar-SA"/>
        </w:rPr>
        <w:t>Lastly, we discussed proper inspection techniques for control cables.</w:t>
      </w:r>
    </w:p>
    <w:tbl>
      <w:tblPr>
        <w:tblW w:w="8193" w:type="dxa"/>
        <w:jc w:val="left"/>
        <w:tblInd w:w="131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3684"/>
        <w:gridCol w:w="4509"/>
      </w:tblGrid>
      <w:tr>
        <w:trPr/>
        <w:tc>
          <w:tcPr>
            <w:tcW w:w="36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Officers Present: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ascii="Arial;serif" w:hAnsi="Arial;serif"/>
                <w:sz w:val="24"/>
              </w:rPr>
              <w:t>Larry Howell, President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ascii="Arial;serif" w:hAnsi="Arial;serif"/>
                <w:sz w:val="24"/>
              </w:rPr>
              <w:t>Ron Heidebrink, Vise-President</w:t>
            </w:r>
          </w:p>
          <w:p>
            <w:pPr>
              <w:pStyle w:val="TableContents"/>
              <w:spacing w:before="0" w:after="0"/>
              <w:rPr>
                <w:rFonts w:ascii="Arial;serif" w:hAnsi="Arial;serif"/>
                <w:sz w:val="24"/>
              </w:rPr>
            </w:pPr>
            <w:r>
              <w:rPr>
                <w:rFonts w:ascii="Arial;serif" w:hAnsi="Arial;serif"/>
                <w:sz w:val="24"/>
              </w:rPr>
              <w:t>Duane Drisko, Treasurer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Dennis Scott, Webmaster</w:t>
            </w:r>
          </w:p>
        </w:tc>
        <w:tc>
          <w:tcPr>
            <w:tcW w:w="45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74"/>
              <w:outlineLvl w:val="3"/>
              <w:rPr>
                <w:rFonts w:ascii="-webkit-standard" w:hAnsi="-webkit-standard" w:eastAsia="ＭＳ 明朝" w:cs="Times New Roman"/>
                <w:color w:val="00000A"/>
                <w:sz w:val="24"/>
                <w:szCs w:val="20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sz w:val="24"/>
                <w:szCs w:val="24"/>
                <w:lang w:val="en-US" w:eastAsia="en-US" w:bidi="ar-SA"/>
              </w:rPr>
              <w:t>Members / Guests Present: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Cliff Sielitzsky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Al Beck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-webkit-standard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aa.org/en/eaa/flight-experiences/aluminum-overcast-eaa-b-17-bomber-tour/b-17-aluminum-overcast-tour-stop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LibreOffice/5.4.3.2$MacOSX_X86_64 LibreOffice_project/92a7159f7e4af62137622921e809f8546db437e5</Application>
  <Pages>1</Pages>
  <Words>186</Words>
  <Characters>1010</Characters>
  <CharactersWithSpaces>1163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2018-05-20T20:25:57Z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